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721"/>
        <w:gridCol w:w="457"/>
        <w:gridCol w:w="2886"/>
        <w:gridCol w:w="752"/>
        <w:gridCol w:w="524"/>
        <w:gridCol w:w="330"/>
        <w:gridCol w:w="880"/>
        <w:gridCol w:w="2335"/>
        <w:gridCol w:w="142"/>
      </w:tblGrid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領域</w:t>
            </w:r>
            <w:r w:rsidRPr="0094773D">
              <w:rPr>
                <w:rFonts w:ascii="Times New Roman" w:eastAsia="標楷體" w:hAnsi="Times New Roman"/>
                <w:b/>
              </w:rPr>
              <w:t>/</w:t>
            </w:r>
            <w:r w:rsidRPr="0094773D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8857FF" w:rsidP="0094773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  <w:r w:rsidRPr="0094773D">
              <w:rPr>
                <w:rFonts w:ascii="Times New Roman" w:eastAsia="標楷體" w:hAnsi="Times New Roman"/>
              </w:rPr>
              <w:t>共</w:t>
            </w:r>
            <w:r w:rsidR="008857FF" w:rsidRPr="0094773D">
              <w:rPr>
                <w:rFonts w:ascii="Times New Roman" w:eastAsia="標楷體" w:hAnsi="Times New Roman"/>
              </w:rPr>
              <w:t>__</w:t>
            </w:r>
            <w:r w:rsidRPr="0094773D">
              <w:rPr>
                <w:rFonts w:ascii="Times New Roman" w:eastAsia="標楷體" w:hAnsi="Times New Roman"/>
              </w:rPr>
              <w:t>_</w:t>
            </w:r>
            <w:r w:rsidRPr="0094773D">
              <w:rPr>
                <w:rFonts w:ascii="Times New Roman" w:eastAsia="標楷體" w:hAnsi="Times New Roman"/>
              </w:rPr>
              <w:t>節，</w:t>
            </w:r>
            <w:r w:rsidR="008857FF" w:rsidRPr="0094773D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94773D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8857FF" w:rsidRPr="0094773D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567"/>
        </w:trPr>
        <w:tc>
          <w:tcPr>
            <w:tcW w:w="9747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6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567"/>
        </w:trPr>
        <w:tc>
          <w:tcPr>
            <w:tcW w:w="974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94773D">
        <w:trPr>
          <w:gridAfter w:val="1"/>
          <w:wAfter w:w="142" w:type="dxa"/>
          <w:trHeight w:val="3118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D90816" w:rsidRPr="00A05109" w:rsidTr="0094773D">
        <w:trPr>
          <w:trHeight w:val="567"/>
        </w:trPr>
        <w:tc>
          <w:tcPr>
            <w:tcW w:w="988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D90816" w:rsidRPr="00A05109" w:rsidTr="0094773D">
        <w:trPr>
          <w:trHeight w:val="454"/>
        </w:trPr>
        <w:tc>
          <w:tcPr>
            <w:tcW w:w="653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94773D">
        <w:trPr>
          <w:trHeight w:val="56"/>
        </w:trPr>
        <w:tc>
          <w:tcPr>
            <w:tcW w:w="65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90816" w:rsidRPr="003B21C4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</w:pPr>
            <w:r w:rsidRPr="003B21C4"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  <w:t>摘要學習活動內容即可，呈現合呼素養導向教學的內涵。</w:t>
            </w:r>
          </w:p>
          <w:p w:rsidR="00D90816" w:rsidRPr="003B21C4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</w:pPr>
            <w:r w:rsidRPr="003B21C4"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D90816" w:rsidRPr="003B21C4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</w:pPr>
            <w:r w:rsidRPr="003B21C4"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  <w:t>教學流程需落實素養導向教學之教材教法，掌握生活情境與實踐等意涵。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3B21C4">
              <w:rPr>
                <w:rFonts w:ascii="Times New Roman" w:eastAsia="標楷體" w:hAnsi="Times New Roman"/>
                <w:color w:val="A6A6A6" w:themeColor="background1" w:themeShade="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  <w:bookmarkStart w:id="0" w:name="_GoBack"/>
            <w:bookmarkEnd w:id="0"/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:rsidR="00171FB8" w:rsidRPr="007F3219" w:rsidRDefault="00171FB8" w:rsidP="0094773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58" w:rsidRDefault="007A4058" w:rsidP="003B0BE7">
      <w:r>
        <w:separator/>
      </w:r>
    </w:p>
  </w:endnote>
  <w:endnote w:type="continuationSeparator" w:id="0">
    <w:p w:rsidR="007A4058" w:rsidRDefault="007A4058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58" w:rsidRDefault="007A4058" w:rsidP="003B0BE7">
      <w:r>
        <w:separator/>
      </w:r>
    </w:p>
  </w:footnote>
  <w:footnote w:type="continuationSeparator" w:id="0">
    <w:p w:rsidR="007A4058" w:rsidRDefault="007A4058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74ECFB3E"/>
    <w:lvl w:ilvl="0" w:tplc="34A272D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53724"/>
    <w:rsid w:val="00253784"/>
    <w:rsid w:val="002E26EF"/>
    <w:rsid w:val="002F4687"/>
    <w:rsid w:val="00324057"/>
    <w:rsid w:val="003970DD"/>
    <w:rsid w:val="003B0BE7"/>
    <w:rsid w:val="003B21C4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DCB"/>
    <w:rsid w:val="007A4058"/>
    <w:rsid w:val="007B2958"/>
    <w:rsid w:val="007C69D6"/>
    <w:rsid w:val="007D6516"/>
    <w:rsid w:val="007F3219"/>
    <w:rsid w:val="00817A0F"/>
    <w:rsid w:val="00833FDA"/>
    <w:rsid w:val="00834984"/>
    <w:rsid w:val="008857FF"/>
    <w:rsid w:val="008917C5"/>
    <w:rsid w:val="0094773D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A8D52E-5632-4FCD-9287-63A87ED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孫瀚辰</cp:lastModifiedBy>
  <cp:revision>3</cp:revision>
  <dcterms:created xsi:type="dcterms:W3CDTF">2021-10-28T09:28:00Z</dcterms:created>
  <dcterms:modified xsi:type="dcterms:W3CDTF">2022-11-08T08:32:00Z</dcterms:modified>
</cp:coreProperties>
</file>